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378A" w:rsidP="2FDD4225" w:rsidRDefault="00F37485" w14:paraId="2CE52F91" w14:textId="4E0AADEA">
      <w:pPr>
        <w:pStyle w:val="Heading1"/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2"/>
          <w:szCs w:val="22"/>
          <w:lang w:val="en-US"/>
        </w:rPr>
      </w:pPr>
      <w:r w:rsidRPr="2FDD4225" w:rsidR="00F37485">
        <w:rPr>
          <w:lang w:val="en-US"/>
        </w:rPr>
        <w:t>Deliver</w:t>
      </w:r>
    </w:p>
    <w:p w:rsidR="7E25800F" w:rsidP="2FDD4225" w:rsidRDefault="7E25800F" w14:paraId="0CC3D45A" w14:textId="5B248025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  <w:lang w:val="en-US"/>
        </w:rPr>
      </w:pPr>
      <w:r w:rsidRPr="1EE1EAF7" w:rsidR="7E25800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If you are seeking support for the delivery of a </w:t>
      </w:r>
      <w:r w:rsidRPr="1EE1EAF7" w:rsidR="7E25800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microcredential </w:t>
      </w:r>
      <w:r w:rsidRPr="1EE1EAF7" w:rsidR="7E25800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course</w:t>
      </w:r>
      <w:r w:rsidRPr="1EE1EAF7" w:rsidR="7E25800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EE1EAF7" w:rsidR="7E25800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please reach out to </w:t>
      </w:r>
      <w:r w:rsidRPr="1EE1EAF7" w:rsidR="1AFD744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your</w:t>
      </w:r>
      <w:r w:rsidRPr="1EE1EAF7" w:rsidR="7E25800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EE1EAF7" w:rsidR="7E25800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a</w:t>
      </w:r>
      <w:r w:rsidRPr="1EE1EAF7" w:rsidR="7E25800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ppropriate </w:t>
      </w:r>
      <w:r w:rsidRPr="1EE1EAF7" w:rsidR="08D2155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institutional</w:t>
      </w:r>
      <w:r w:rsidRPr="1EE1EAF7" w:rsidR="08D2155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EE1EAF7" w:rsidR="7E25800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office</w:t>
      </w:r>
      <w:r w:rsidRPr="1EE1EAF7" w:rsidR="70AEE8B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 to find </w:t>
      </w:r>
      <w:r w:rsidRPr="1EE1EAF7" w:rsidR="70AEE8B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supports</w:t>
      </w:r>
      <w:r w:rsidRPr="1EE1EAF7" w:rsidR="7E25800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1EE1EAF7" w:rsidR="2CC3A4EA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E.g., A </w:t>
      </w:r>
      <w:r w:rsidRPr="1EE1EAF7" w:rsidR="7E25800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School of Continuing Studies </w:t>
      </w:r>
      <w:r w:rsidRPr="1EE1EAF7" w:rsidR="479125F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may </w:t>
      </w:r>
      <w:r w:rsidRPr="1EE1EAF7" w:rsidR="7E25800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offer</w:t>
      </w:r>
      <w:r w:rsidRPr="1EE1EAF7" w:rsidR="63D495D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1EE1EAF7" w:rsidR="7E25800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course production and delivery services</w:t>
      </w:r>
      <w:r w:rsidRPr="1EE1EAF7" w:rsidR="7E25800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to </w:t>
      </w:r>
      <w:r w:rsidRPr="1EE1EAF7" w:rsidR="7E25800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divisions who do not have the resources or infrastructure to do so</w:t>
      </w:r>
      <w:r w:rsidRPr="1EE1EAF7" w:rsidR="7E25800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themselves.</w:t>
      </w:r>
    </w:p>
    <w:p w:rsidR="46A1EDE0" w:rsidP="2FDD4225" w:rsidRDefault="46A1EDE0" w14:paraId="6BE1D7F2" w14:textId="09C62AA8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</w:pPr>
    </w:p>
    <w:p w:rsidRPr="003745E0" w:rsidR="00CA45F8" w:rsidP="2FDD4225" w:rsidRDefault="003E239B" w14:paraId="3852EAE7" w14:textId="3A710452">
      <w:pPr>
        <w:pStyle w:val="Heading2"/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</w:pPr>
      <w:r w:rsidR="00CA45F8">
        <w:rPr/>
        <w:t xml:space="preserve">Deliver </w:t>
      </w:r>
    </w:p>
    <w:p w:rsidRPr="003745E0" w:rsidR="00CA45F8" w:rsidP="2FDD4225" w:rsidRDefault="003E239B" w14:paraId="7FDF5CC7" w14:textId="61ADE629">
      <w:pPr>
        <w:pStyle w:val="Heading5"/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</w:pPr>
      <w:r w:rsidRPr="1EE1EAF7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 xml:space="preserve">The following are key concepts and best practices for piloting and delivering a </w:t>
      </w:r>
      <w:r w:rsidRPr="1EE1EAF7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>microcredential:</w:t>
      </w:r>
    </w:p>
    <w:p w:rsidRPr="003745E0" w:rsidR="00CA45F8" w:rsidP="2FDD4225" w:rsidRDefault="00CA45F8" w14:paraId="36F746E3" w14:textId="405E3939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</w:pPr>
      <w:r w:rsidRPr="1EE1EAF7" w:rsidR="40958142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>Like other course development, a microcredential course outline and design plan should be developed to inform the build out in your delivery system (e.g., learning management system)</w:t>
      </w:r>
      <w:r w:rsidRPr="1EE1EAF7" w:rsidR="40958142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>.</w:t>
      </w:r>
      <w:r w:rsidRPr="1EE1EAF7" w:rsidR="1CD4DFC2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 xml:space="preserve"> </w:t>
      </w:r>
      <w:r w:rsidRPr="1EE1EAF7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 xml:space="preserve"> </w:t>
      </w:r>
      <w:r w:rsidRPr="1EE1EAF7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 xml:space="preserve">The length of time a learner is given to complete a micro-credential must be </w:t>
      </w:r>
      <w:r w:rsidRPr="1EE1EAF7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>stated</w:t>
      </w:r>
      <w:r w:rsidRPr="1EE1EAF7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 xml:space="preserve"> in the </w:t>
      </w:r>
      <w:r w:rsidRPr="1EE1EAF7" w:rsidR="67979533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>microcredential</w:t>
      </w:r>
      <w:r w:rsidRPr="1EE1EAF7" w:rsidR="67979533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 xml:space="preserve"> course description or </w:t>
      </w:r>
      <w:r w:rsidRPr="1EE1EAF7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>outline.</w:t>
      </w:r>
    </w:p>
    <w:p w:rsidRPr="003745E0" w:rsidR="00CA45F8" w:rsidP="2FDD4225" w:rsidRDefault="00CA45F8" w14:paraId="47675166" w14:textId="4FFDE74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</w:pPr>
      <w:r w:rsidRPr="1EE1EAF7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>Microcredentials that are stackable or create pathways to greater or larger c</w:t>
      </w:r>
      <w:r w:rsidRPr="1EE1EAF7" w:rsidR="3A226CD6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>ertificates</w:t>
      </w:r>
      <w:r w:rsidRPr="1EE1EAF7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 xml:space="preserve"> should be identified </w:t>
      </w:r>
      <w:r w:rsidRPr="1EE1EAF7" w:rsidR="6306EA99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>as such</w:t>
      </w:r>
      <w:r w:rsidRPr="1EE1EAF7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 xml:space="preserve"> to the learners. For example, if three </w:t>
      </w:r>
      <w:r w:rsidRPr="1EE1EAF7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>microcredentials</w:t>
      </w:r>
      <w:r w:rsidRPr="1EE1EAF7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 xml:space="preserve"> a</w:t>
      </w:r>
      <w:r w:rsidRPr="1EE1EAF7" w:rsidR="0EE7EB24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>re combined to earn a certificate</w:t>
      </w:r>
      <w:r w:rsidRPr="1EE1EAF7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 xml:space="preserve">, </w:t>
      </w:r>
      <w:r w:rsidRPr="1EE1EAF7" w:rsidR="1B9FAE74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>or if the credential is professionally recognized, describe the possible</w:t>
      </w:r>
      <w:r w:rsidRPr="1EE1EAF7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 xml:space="preserve"> pathways</w:t>
      </w:r>
      <w:r w:rsidRPr="1EE1EAF7" w:rsidR="661EC5A1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 xml:space="preserve">. However, care should be taken to distinguish non-degree credits from degree credit bearing courses to avoid confusion or even legal repercussions. </w:t>
      </w:r>
    </w:p>
    <w:p w:rsidRPr="003745E0" w:rsidR="00CA45F8" w:rsidP="2FDD4225" w:rsidRDefault="00CA45F8" w14:paraId="61AA9536" w14:textId="09205CCF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</w:pPr>
      <w:r w:rsidRPr="2FDD4225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 xml:space="preserve">If learners are successful, </w:t>
      </w:r>
      <w:r w:rsidRPr="2FDD4225" w:rsidR="39283D94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 xml:space="preserve">and </w:t>
      </w:r>
      <w:r w:rsidRPr="2FDD4225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 xml:space="preserve">they are awarded the </w:t>
      </w:r>
      <w:r w:rsidRPr="2FDD4225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>microcredential</w:t>
      </w:r>
      <w:r w:rsidRPr="2FDD4225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 xml:space="preserve">, </w:t>
      </w:r>
      <w:r w:rsidRPr="2FDD4225" w:rsidR="314A8C60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>it</w:t>
      </w:r>
      <w:r w:rsidRPr="2FDD4225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 xml:space="preserve"> can be </w:t>
      </w:r>
      <w:r w:rsidRPr="2FDD4225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>showcased</w:t>
      </w:r>
      <w:r w:rsidRPr="2FDD4225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 xml:space="preserve"> with a digital badge or certificate of completion or achievement. </w:t>
      </w:r>
      <w:r w:rsidRPr="2FDD4225" w:rsidR="60EA0909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>A digital badge provides a</w:t>
      </w:r>
      <w:r w:rsidRPr="2FDD4225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 xml:space="preserve"> trackable record that outlines the micro-credential</w:t>
      </w:r>
      <w:r w:rsidRPr="2FDD4225" w:rsidR="3632022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 xml:space="preserve"> earned</w:t>
      </w:r>
      <w:r w:rsidRPr="2FDD4225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>.</w:t>
      </w:r>
    </w:p>
    <w:p w:rsidRPr="003745E0" w:rsidR="00CA45F8" w:rsidP="2FDD4225" w:rsidRDefault="00CA45F8" w14:paraId="3ED63178" w14:textId="595C845D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</w:pPr>
      <w:r w:rsidRPr="1EE1EAF7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 xml:space="preserve">Learners </w:t>
      </w:r>
      <w:r w:rsidRPr="1EE1EAF7" w:rsidR="18FEE24F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>can</w:t>
      </w:r>
      <w:r w:rsidRPr="1EE1EAF7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 xml:space="preserve"> be </w:t>
      </w:r>
      <w:r w:rsidRPr="1EE1EAF7" w:rsidR="18FEE24F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>encouraged</w:t>
      </w:r>
      <w:r w:rsidRPr="1EE1EAF7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 xml:space="preserve"> to share </w:t>
      </w:r>
      <w:r w:rsidRPr="1EE1EAF7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 xml:space="preserve">the </w:t>
      </w:r>
      <w:r w:rsidRPr="1EE1EAF7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>micro</w:t>
      </w:r>
      <w:r w:rsidRPr="1EE1EAF7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>credential</w:t>
      </w:r>
      <w:r w:rsidRPr="1EE1EAF7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 xml:space="preserve"> on </w:t>
      </w:r>
      <w:r w:rsidRPr="1EE1EAF7" w:rsidR="742F8F99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>their</w:t>
      </w:r>
      <w:r w:rsidRPr="1EE1EAF7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 xml:space="preserve"> social media threads, such as LinkedIn, Twitter, Facebook, or to a </w:t>
      </w:r>
      <w:r w:rsidRPr="1EE1EAF7" w:rsidR="3087301A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>wallet</w:t>
      </w:r>
      <w:r w:rsidRPr="1EE1EAF7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 xml:space="preserve"> or resume.</w:t>
      </w:r>
    </w:p>
    <w:p w:rsidRPr="004E5560" w:rsidR="00CA45F8" w:rsidP="2FDD4225" w:rsidRDefault="003E239B" w14:paraId="3A34A6DB" w14:textId="33571F59">
      <w:pPr>
        <w:pStyle w:val="Heading2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CA45F8">
        <w:rPr/>
        <w:t>Prior learning and assessment recognition (PLAR)</w:t>
      </w:r>
    </w:p>
    <w:p w:rsidRPr="003745E0" w:rsidR="00CA45F8" w:rsidP="2FDD4225" w:rsidRDefault="00CA45F8" w14:paraId="10F1E65E" w14:textId="42131F68">
      <w:pPr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</w:pPr>
      <w:r w:rsidRPr="2FDD4225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>Learners who believe they have already mastered the skill or competency that is being measured should be given an opportunity to measure their prior learning.</w:t>
      </w:r>
      <w:r w:rsidRPr="2FDD4225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 xml:space="preserve"> The PLAR assessment should be the same summative assessment that is applied to learners taking the full </w:t>
      </w:r>
      <w:r w:rsidRPr="2FDD4225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>micro</w:t>
      </w:r>
      <w:r w:rsidRPr="2FDD4225" w:rsidR="516CB87D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>-</w:t>
      </w:r>
      <w:r w:rsidRPr="2FDD4225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>credential</w:t>
      </w:r>
      <w:r w:rsidRPr="2FDD4225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>.</w:t>
      </w:r>
    </w:p>
    <w:p w:rsidRPr="004E5560" w:rsidR="00CA45F8" w:rsidP="2FDD4225" w:rsidRDefault="003E239B" w14:paraId="2B1F7094" w14:textId="5353B804">
      <w:pPr>
        <w:pStyle w:val="Heading2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CA45F8">
        <w:rPr/>
        <w:t>Flexibility for learners</w:t>
      </w:r>
    </w:p>
    <w:p w:rsidRPr="003745E0" w:rsidR="00CA45F8" w:rsidP="2FDD4225" w:rsidRDefault="00CA45F8" w14:paraId="702E9BBB" w14:textId="6BB9DBC9">
      <w:pPr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</w:pPr>
      <w:r w:rsidRPr="1EE1EAF7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 xml:space="preserve">Learners should be able to work through </w:t>
      </w:r>
      <w:r w:rsidRPr="1EE1EAF7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>microcredentials</w:t>
      </w:r>
      <w:r w:rsidRPr="1EE1EAF7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 xml:space="preserve"> at a pace that works best for them. Because </w:t>
      </w:r>
      <w:r w:rsidRPr="1EE1EAF7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>microcredentials</w:t>
      </w:r>
      <w:r w:rsidRPr="1EE1EAF7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 xml:space="preserve"> are self-directed, a rigid learning plan outlining specific due dates should be avoided. </w:t>
      </w:r>
      <w:r w:rsidRPr="1EE1EAF7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 xml:space="preserve">The only timelines that should be presented and enforced are the end date of the </w:t>
      </w:r>
      <w:r w:rsidRPr="1EE1EAF7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>micro</w:t>
      </w:r>
      <w:r w:rsidRPr="1EE1EAF7" w:rsidR="0A832E6C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>-</w:t>
      </w:r>
      <w:r w:rsidRPr="1EE1EAF7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>credential</w:t>
      </w:r>
      <w:r w:rsidRPr="1EE1EAF7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 xml:space="preserve"> and when the summative assessment should be </w:t>
      </w:r>
      <w:r w:rsidRPr="1EE1EAF7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>submitted</w:t>
      </w:r>
      <w:r w:rsidRPr="1EE1EAF7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>.</w:t>
      </w:r>
      <w:r w:rsidRPr="1EE1EAF7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 xml:space="preserve"> Therefore, once a learner has registered for a </w:t>
      </w:r>
      <w:r w:rsidRPr="1EE1EAF7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>micro</w:t>
      </w:r>
      <w:r w:rsidRPr="1EE1EAF7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>credential</w:t>
      </w:r>
      <w:r w:rsidRPr="1EE1EAF7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 xml:space="preserve">, they should be informed right away of how long they </w:t>
      </w:r>
      <w:r w:rsidRPr="1EE1EAF7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>have to</w:t>
      </w:r>
      <w:r w:rsidRPr="1EE1EAF7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 xml:space="preserve"> complete the required learning activities and assessments. There should be time allowed for learners who require two attempts to complete an assessment: this includes time to provide them with </w:t>
      </w:r>
      <w:r w:rsidRPr="1EE1EAF7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>appropriate</w:t>
      </w:r>
      <w:r w:rsidRPr="1EE1EAF7" w:rsidR="00CA45F8">
        <w:rPr>
          <w:rFonts w:ascii="Calibri" w:hAnsi="Calibri" w:eastAsia="Calibri" w:cs="Calibri" w:asciiTheme="minorAscii" w:hAnsiTheme="minorAscii" w:eastAsiaTheme="minorAscii" w:cstheme="minorAscii"/>
          <w:color w:val="373D3F"/>
          <w:sz w:val="24"/>
          <w:szCs w:val="24"/>
        </w:rPr>
        <w:t xml:space="preserve"> and constructive feedback, and for the second attempt.</w:t>
      </w:r>
    </w:p>
    <w:sectPr w:rsidRPr="003745E0" w:rsidR="00CA45F8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00OwrjQSnyOPK" int2:id="WWmsRsug">
      <int2:state int2:value="Rejected" int2:type="AugLoop_Text_Critique"/>
    </int2:textHash>
    <int2:textHash int2:hashCode="SSSZioFa1QqxEl" int2:id="YhceW5PJ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854ED"/>
    <w:multiLevelType w:val="hybridMultilevel"/>
    <w:tmpl w:val="92148BF2"/>
    <w:lvl w:ilvl="0" w:tplc="3B0831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B8D9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A660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D85E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6C82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FEDF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BA5D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606F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A00C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92766818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85"/>
    <w:rsid w:val="0008067D"/>
    <w:rsid w:val="000830A8"/>
    <w:rsid w:val="00172C68"/>
    <w:rsid w:val="001D5D26"/>
    <w:rsid w:val="001E7578"/>
    <w:rsid w:val="00224363"/>
    <w:rsid w:val="002352D2"/>
    <w:rsid w:val="00244BD3"/>
    <w:rsid w:val="003745E0"/>
    <w:rsid w:val="003866CB"/>
    <w:rsid w:val="003C54BF"/>
    <w:rsid w:val="003E239B"/>
    <w:rsid w:val="00427CF3"/>
    <w:rsid w:val="004419CE"/>
    <w:rsid w:val="004B528E"/>
    <w:rsid w:val="004D524A"/>
    <w:rsid w:val="00680006"/>
    <w:rsid w:val="006B2B6C"/>
    <w:rsid w:val="006E4831"/>
    <w:rsid w:val="007852A1"/>
    <w:rsid w:val="007E5B30"/>
    <w:rsid w:val="008232FC"/>
    <w:rsid w:val="00877609"/>
    <w:rsid w:val="008815A4"/>
    <w:rsid w:val="00885EED"/>
    <w:rsid w:val="008E4AC8"/>
    <w:rsid w:val="009A513D"/>
    <w:rsid w:val="009F430C"/>
    <w:rsid w:val="00BC54B9"/>
    <w:rsid w:val="00C77DE6"/>
    <w:rsid w:val="00CA45F8"/>
    <w:rsid w:val="00CD378A"/>
    <w:rsid w:val="00DD4EE9"/>
    <w:rsid w:val="00DE17CC"/>
    <w:rsid w:val="00E90823"/>
    <w:rsid w:val="00EA0B04"/>
    <w:rsid w:val="00F03F82"/>
    <w:rsid w:val="00F37485"/>
    <w:rsid w:val="00F82FF3"/>
    <w:rsid w:val="00FB252E"/>
    <w:rsid w:val="00FB75F1"/>
    <w:rsid w:val="057DC6DE"/>
    <w:rsid w:val="057FFEF9"/>
    <w:rsid w:val="08B79FBB"/>
    <w:rsid w:val="08D2155F"/>
    <w:rsid w:val="09764938"/>
    <w:rsid w:val="0A832E6C"/>
    <w:rsid w:val="0EE7EB24"/>
    <w:rsid w:val="15E1D848"/>
    <w:rsid w:val="16B0E78E"/>
    <w:rsid w:val="1720B84D"/>
    <w:rsid w:val="18FEE24F"/>
    <w:rsid w:val="1A3DEAFE"/>
    <w:rsid w:val="1AF573A0"/>
    <w:rsid w:val="1AFD7447"/>
    <w:rsid w:val="1B085403"/>
    <w:rsid w:val="1B9FAE74"/>
    <w:rsid w:val="1CD4DFC2"/>
    <w:rsid w:val="1E6B4D89"/>
    <w:rsid w:val="1EE1EAF7"/>
    <w:rsid w:val="220D7536"/>
    <w:rsid w:val="2CC3A4EA"/>
    <w:rsid w:val="2CFE102D"/>
    <w:rsid w:val="2EDA0AC3"/>
    <w:rsid w:val="2FDD4225"/>
    <w:rsid w:val="2FFAFD0E"/>
    <w:rsid w:val="3087301A"/>
    <w:rsid w:val="314A8C60"/>
    <w:rsid w:val="324C5876"/>
    <w:rsid w:val="35D4A2F8"/>
    <w:rsid w:val="36320228"/>
    <w:rsid w:val="39283D94"/>
    <w:rsid w:val="3A226CD6"/>
    <w:rsid w:val="40958142"/>
    <w:rsid w:val="42A8D935"/>
    <w:rsid w:val="4350AF20"/>
    <w:rsid w:val="45061D7F"/>
    <w:rsid w:val="46A1EDE0"/>
    <w:rsid w:val="46A9DB66"/>
    <w:rsid w:val="479125F5"/>
    <w:rsid w:val="4B4298A8"/>
    <w:rsid w:val="4CA2121C"/>
    <w:rsid w:val="4DE088BA"/>
    <w:rsid w:val="500AAA8D"/>
    <w:rsid w:val="516CB87D"/>
    <w:rsid w:val="53AF6046"/>
    <w:rsid w:val="56A99C56"/>
    <w:rsid w:val="5FACBFD4"/>
    <w:rsid w:val="60B25A67"/>
    <w:rsid w:val="60EA0909"/>
    <w:rsid w:val="6306EA99"/>
    <w:rsid w:val="63D495D4"/>
    <w:rsid w:val="64791CCE"/>
    <w:rsid w:val="661EC5A1"/>
    <w:rsid w:val="6700C29C"/>
    <w:rsid w:val="67979533"/>
    <w:rsid w:val="67B0BD90"/>
    <w:rsid w:val="6AE85E52"/>
    <w:rsid w:val="6C8D42D1"/>
    <w:rsid w:val="70AEE8BC"/>
    <w:rsid w:val="742F8F99"/>
    <w:rsid w:val="7476183B"/>
    <w:rsid w:val="74FA0A6F"/>
    <w:rsid w:val="7BD91CB2"/>
    <w:rsid w:val="7DAF8707"/>
    <w:rsid w:val="7E25800F"/>
    <w:rsid w:val="7F29E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A34D5"/>
  <w15:chartTrackingRefBased/>
  <w15:docId w15:val="{2DF87461-88D7-487F-AF4A-99DD4036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4EE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45F8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  <w:kern w:val="0"/>
      <w:lang w:val="en-US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B52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528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B52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28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B528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85E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EE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352D2"/>
    <w:pPr>
      <w:spacing w:after="0" w:line="240" w:lineRule="auto"/>
    </w:pPr>
  </w:style>
  <w:style w:type="character" w:styleId="Heading5Char" w:customStyle="1">
    <w:name w:val="Heading 5 Char"/>
    <w:basedOn w:val="DefaultParagraphFont"/>
    <w:link w:val="Heading5"/>
    <w:uiPriority w:val="9"/>
    <w:rsid w:val="00CA45F8"/>
    <w:rPr>
      <w:rFonts w:asciiTheme="majorHAnsi" w:hAnsiTheme="majorHAnsi" w:eastAsiaTheme="majorEastAsia" w:cstheme="majorBidi"/>
      <w:color w:val="2F5496" w:themeColor="accent1" w:themeShade="BF"/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CA45F8"/>
    <w:pPr>
      <w:ind w:left="720"/>
      <w:contextualSpacing/>
    </w:pPr>
    <w:rPr>
      <w:kern w:val="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8067D"/>
    <w:rPr>
      <w:color w:val="954F72" w:themeColor="followed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DD4EE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20/10/relationships/intelligence" Target="intelligence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microsoft.com/office/2011/relationships/people" Target="people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62D39150C9B4BB366EF708770ED2D" ma:contentTypeVersion="17" ma:contentTypeDescription="Create a new document." ma:contentTypeScope="" ma:versionID="082972812008efdff0d1043be45fe3a0">
  <xsd:schema xmlns:xsd="http://www.w3.org/2001/XMLSchema" xmlns:xs="http://www.w3.org/2001/XMLSchema" xmlns:p="http://schemas.microsoft.com/office/2006/metadata/properties" xmlns:ns2="52f2a0fb-ec49-4e16-bb23-50b544ec9173" xmlns:ns3="94774a7f-7d82-4a2a-b506-5a8432af408e" targetNamespace="http://schemas.microsoft.com/office/2006/metadata/properties" ma:root="true" ma:fieldsID="accc42c377bf6f012c7dce9c30d2be50" ns2:_="" ns3:_="">
    <xsd:import namespace="52f2a0fb-ec49-4e16-bb23-50b544ec9173"/>
    <xsd:import namespace="94774a7f-7d82-4a2a-b506-5a8432af40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2a0fb-ec49-4e16-bb23-50b544ec9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74a7f-7d82-4a2a-b506-5a8432af40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52c836-b54a-46da-8ff5-0612cdc7348b}" ma:internalName="TaxCatchAll" ma:showField="CatchAllData" ma:web="94774a7f-7d82-4a2a-b506-5a8432af40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774a7f-7d82-4a2a-b506-5a8432af408e" xsi:nil="true"/>
    <lcf76f155ced4ddcb4097134ff3c332f xmlns="52f2a0fb-ec49-4e16-bb23-50b544ec91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660B3C-DCDF-42B9-BB7B-9A9C7E4666E6}"/>
</file>

<file path=customXml/itemProps2.xml><?xml version="1.0" encoding="utf-8"?>
<ds:datastoreItem xmlns:ds="http://schemas.openxmlformats.org/officeDocument/2006/customXml" ds:itemID="{F30B4B13-0EAF-4D37-A470-57B078E9F4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B9EF8B-4878-4CD5-B0EB-DE9C259BD7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D0F9E3-27E1-4668-8CA6-48A9B619E51E}">
  <ds:schemaRefs>
    <ds:schemaRef ds:uri="http://purl.org/dc/terms/"/>
    <ds:schemaRef ds:uri="baf2e73c-b7b3-48ec-9c56-076ce247d831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151a8a5a-c3fb-4f3c-97fe-c4c007e542d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Alexandra Varela</dc:creator>
  <keywords/>
  <dc:description/>
  <lastModifiedBy>William Heikoop</lastModifiedBy>
  <revision>42</revision>
  <dcterms:created xsi:type="dcterms:W3CDTF">2023-11-08T04:00:00.0000000Z</dcterms:created>
  <dcterms:modified xsi:type="dcterms:W3CDTF">2024-02-06T20:40:44.8851425Z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0x010100E9B62D39150C9B4BB366EF708770ED2D</vt:lpwstr>
  </property>
  <property fmtid="{D5CDD505-2E9C-101B-9397-08002B2CF9AE}" pid="3" name="MediaServiceImageTags">
    <vt:lpwstr/>
  </property>
</Properties>
</file>